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71" w:rsidRPr="0019223E" w:rsidRDefault="007F1023">
      <w:pPr>
        <w:rPr>
          <w:rFonts w:ascii="Verdana" w:hAnsi="Verdana" w:cs="Times New Roman"/>
          <w:sz w:val="24"/>
          <w:szCs w:val="24"/>
        </w:rPr>
      </w:pPr>
      <w:bookmarkStart w:id="0" w:name="_GoBack"/>
      <w:bookmarkEnd w:id="0"/>
      <w:r w:rsidRPr="0019223E">
        <w:rPr>
          <w:rFonts w:ascii="Verdana" w:hAnsi="Verdana" w:cs="Times New Roman"/>
          <w:sz w:val="24"/>
          <w:szCs w:val="24"/>
        </w:rPr>
        <w:t>Five Year Interim Report –Accreditation</w:t>
      </w:r>
    </w:p>
    <w:p w:rsidR="004335E6" w:rsidRDefault="004335E6" w:rsidP="007F1023">
      <w:pPr>
        <w:spacing w:after="0" w:line="240" w:lineRule="auto"/>
        <w:rPr>
          <w:rFonts w:ascii="Verdana" w:hAnsi="Verdana" w:cs="Times New Roman"/>
          <w:sz w:val="24"/>
          <w:szCs w:val="24"/>
        </w:rPr>
      </w:pPr>
      <w:r>
        <w:rPr>
          <w:rFonts w:ascii="Verdana" w:hAnsi="Verdana" w:cs="Times New Roman"/>
          <w:sz w:val="24"/>
          <w:szCs w:val="24"/>
        </w:rPr>
        <w:t>Dual Enrolment</w:t>
      </w:r>
    </w:p>
    <w:p w:rsidR="004335E6" w:rsidRDefault="004335E6" w:rsidP="007F1023">
      <w:pPr>
        <w:spacing w:after="0" w:line="240" w:lineRule="auto"/>
        <w:rPr>
          <w:rFonts w:ascii="Verdana" w:hAnsi="Verdana" w:cs="Times New Roman"/>
          <w:sz w:val="24"/>
          <w:szCs w:val="24"/>
        </w:rPr>
      </w:pPr>
    </w:p>
    <w:p w:rsidR="007F1023" w:rsidRPr="0019223E" w:rsidRDefault="007F1023" w:rsidP="007F1023">
      <w:pPr>
        <w:spacing w:after="0" w:line="240" w:lineRule="auto"/>
        <w:rPr>
          <w:rFonts w:ascii="Verdana" w:hAnsi="Verdana" w:cs="Times New Roman"/>
          <w:sz w:val="24"/>
          <w:szCs w:val="24"/>
        </w:rPr>
      </w:pPr>
      <w:r w:rsidRPr="0019223E">
        <w:rPr>
          <w:rFonts w:ascii="Verdana" w:hAnsi="Verdana" w:cs="Times New Roman"/>
          <w:sz w:val="24"/>
          <w:szCs w:val="24"/>
        </w:rPr>
        <w:t>The pathway for high achievers in the public school system has continued at Bermuda College</w:t>
      </w:r>
      <w:r w:rsidR="00A47E8B" w:rsidRPr="0019223E">
        <w:rPr>
          <w:rFonts w:ascii="Verdana" w:hAnsi="Verdana" w:cs="Times New Roman"/>
          <w:sz w:val="24"/>
          <w:szCs w:val="24"/>
        </w:rPr>
        <w:t xml:space="preserve"> through dual enrolment. Since fall 2016,</w:t>
      </w:r>
      <w:r w:rsidRPr="0019223E">
        <w:rPr>
          <w:rFonts w:ascii="Verdana" w:hAnsi="Verdana" w:cs="Times New Roman"/>
          <w:sz w:val="24"/>
          <w:szCs w:val="24"/>
        </w:rPr>
        <w:t xml:space="preserve"> dual enrolment programming was expanded to include the Certificate in Applied Science and Diploma in Hospitality and Culina</w:t>
      </w:r>
      <w:r w:rsidR="00C44710" w:rsidRPr="0019223E">
        <w:rPr>
          <w:rFonts w:ascii="Verdana" w:hAnsi="Verdana" w:cs="Times New Roman"/>
          <w:sz w:val="24"/>
          <w:szCs w:val="24"/>
        </w:rPr>
        <w:t>ry Arts. The four</w:t>
      </w:r>
      <w:r w:rsidRPr="0019223E">
        <w:rPr>
          <w:rFonts w:ascii="Verdana" w:hAnsi="Verdana" w:cs="Times New Roman"/>
          <w:sz w:val="24"/>
          <w:szCs w:val="24"/>
        </w:rPr>
        <w:t xml:space="preserve"> dual enrolment </w:t>
      </w:r>
      <w:proofErr w:type="spellStart"/>
      <w:r w:rsidRPr="0019223E">
        <w:rPr>
          <w:rFonts w:ascii="Verdana" w:hAnsi="Verdana" w:cs="Times New Roman"/>
          <w:sz w:val="24"/>
          <w:szCs w:val="24"/>
        </w:rPr>
        <w:t>programmes</w:t>
      </w:r>
      <w:proofErr w:type="spellEnd"/>
      <w:r w:rsidRPr="0019223E">
        <w:rPr>
          <w:rFonts w:ascii="Verdana" w:hAnsi="Verdana" w:cs="Times New Roman"/>
          <w:sz w:val="24"/>
          <w:szCs w:val="24"/>
        </w:rPr>
        <w:t xml:space="preserve"> have experienced remarkable success. </w:t>
      </w:r>
    </w:p>
    <w:p w:rsidR="00C44710" w:rsidRPr="0019223E" w:rsidRDefault="00C44710" w:rsidP="007F1023">
      <w:pPr>
        <w:spacing w:after="0" w:line="240" w:lineRule="auto"/>
        <w:rPr>
          <w:rFonts w:ascii="Verdana" w:hAnsi="Verdana" w:cs="Times New Roman"/>
          <w:sz w:val="24"/>
          <w:szCs w:val="24"/>
        </w:rPr>
      </w:pPr>
    </w:p>
    <w:p w:rsidR="00A47E8B" w:rsidRPr="00E67E24" w:rsidRDefault="0019223E" w:rsidP="007F1023">
      <w:pPr>
        <w:spacing w:after="0" w:line="240" w:lineRule="auto"/>
        <w:rPr>
          <w:rFonts w:ascii="Verdana" w:hAnsi="Verdana" w:cs="Times New Roman"/>
          <w:b/>
          <w:sz w:val="24"/>
          <w:szCs w:val="24"/>
        </w:rPr>
      </w:pPr>
      <w:r w:rsidRPr="00E67E24">
        <w:rPr>
          <w:rFonts w:ascii="Verdana" w:hAnsi="Verdana" w:cs="Times New Roman"/>
          <w:b/>
          <w:sz w:val="24"/>
          <w:szCs w:val="24"/>
        </w:rPr>
        <w:t>Summary of Success Data SP2016- 2019</w:t>
      </w:r>
    </w:p>
    <w:p w:rsidR="0019223E" w:rsidRPr="00E67E24" w:rsidRDefault="0019223E" w:rsidP="007F1023">
      <w:pPr>
        <w:spacing w:after="0" w:line="240" w:lineRule="auto"/>
        <w:rPr>
          <w:rFonts w:ascii="Verdana" w:hAnsi="Verdana" w:cs="Times New Roman"/>
          <w:b/>
          <w:sz w:val="24"/>
          <w:szCs w:val="24"/>
        </w:rPr>
      </w:pPr>
      <w:r w:rsidRPr="00E67E24">
        <w:rPr>
          <w:rFonts w:ascii="Verdana" w:hAnsi="Verdana" w:cs="Times New Roman"/>
          <w:b/>
          <w:sz w:val="24"/>
          <w:szCs w:val="24"/>
        </w:rPr>
        <w:t>Associate Degree</w:t>
      </w:r>
    </w:p>
    <w:p w:rsidR="0019223E" w:rsidRDefault="0019223E" w:rsidP="007F1023">
      <w:pPr>
        <w:spacing w:after="0" w:line="240" w:lineRule="auto"/>
        <w:rPr>
          <w:rFonts w:ascii="Verdana" w:hAnsi="Verdana" w:cs="Times New Roman"/>
          <w:sz w:val="24"/>
          <w:szCs w:val="24"/>
        </w:rPr>
      </w:pPr>
    </w:p>
    <w:p w:rsidR="0019223E" w:rsidRDefault="0019223E" w:rsidP="0019223E">
      <w:pPr>
        <w:spacing w:after="0" w:line="240" w:lineRule="auto"/>
        <w:ind w:left="1440" w:firstLine="720"/>
        <w:jc w:val="both"/>
        <w:rPr>
          <w:rFonts w:ascii="Verdana" w:hAnsi="Verdana" w:cs="Times New Roman"/>
          <w:sz w:val="24"/>
          <w:szCs w:val="24"/>
        </w:rPr>
      </w:pPr>
      <w:r>
        <w:rPr>
          <w:rFonts w:ascii="Verdana" w:hAnsi="Verdana" w:cs="Times New Roman"/>
          <w:sz w:val="24"/>
          <w:szCs w:val="24"/>
        </w:rPr>
        <w:t>SP2016</w:t>
      </w:r>
      <w:r>
        <w:rPr>
          <w:rFonts w:ascii="Verdana" w:hAnsi="Verdana" w:cs="Times New Roman"/>
          <w:sz w:val="24"/>
          <w:szCs w:val="24"/>
        </w:rPr>
        <w:tab/>
      </w:r>
      <w:r>
        <w:rPr>
          <w:rFonts w:ascii="Verdana" w:hAnsi="Verdana" w:cs="Times New Roman"/>
          <w:sz w:val="24"/>
          <w:szCs w:val="24"/>
        </w:rPr>
        <w:tab/>
        <w:t>SP2017</w:t>
      </w:r>
      <w:r>
        <w:rPr>
          <w:rFonts w:ascii="Verdana" w:hAnsi="Verdana" w:cs="Times New Roman"/>
          <w:sz w:val="24"/>
          <w:szCs w:val="24"/>
        </w:rPr>
        <w:tab/>
        <w:t xml:space="preserve">   SP2018</w:t>
      </w:r>
      <w:r>
        <w:rPr>
          <w:rFonts w:ascii="Verdana" w:hAnsi="Verdana" w:cs="Times New Roman"/>
          <w:sz w:val="24"/>
          <w:szCs w:val="24"/>
        </w:rPr>
        <w:tab/>
        <w:t xml:space="preserve">      SP2019</w:t>
      </w:r>
    </w:p>
    <w:tbl>
      <w:tblPr>
        <w:tblStyle w:val="TableGrid"/>
        <w:tblW w:w="0" w:type="auto"/>
        <w:tblLook w:val="04A0" w:firstRow="1" w:lastRow="0" w:firstColumn="1" w:lastColumn="0" w:noHBand="0" w:noVBand="1"/>
      </w:tblPr>
      <w:tblGrid>
        <w:gridCol w:w="1870"/>
        <w:gridCol w:w="1870"/>
        <w:gridCol w:w="1870"/>
        <w:gridCol w:w="1870"/>
        <w:gridCol w:w="1870"/>
      </w:tblGrid>
      <w:tr w:rsidR="0019223E" w:rsidTr="0019223E">
        <w:tc>
          <w:tcPr>
            <w:tcW w:w="1870" w:type="dxa"/>
          </w:tcPr>
          <w:p w:rsidR="0019223E" w:rsidRDefault="0019223E" w:rsidP="007F1023">
            <w:pPr>
              <w:rPr>
                <w:rFonts w:ascii="Verdana" w:hAnsi="Verdana" w:cs="Times New Roman"/>
                <w:sz w:val="24"/>
                <w:szCs w:val="24"/>
              </w:rPr>
            </w:pPr>
            <w:r>
              <w:rPr>
                <w:rFonts w:ascii="Verdana" w:hAnsi="Verdana" w:cs="Times New Roman"/>
                <w:sz w:val="24"/>
                <w:szCs w:val="24"/>
              </w:rPr>
              <w:t>2.0 or above</w:t>
            </w:r>
          </w:p>
        </w:tc>
        <w:tc>
          <w:tcPr>
            <w:tcW w:w="1870" w:type="dxa"/>
          </w:tcPr>
          <w:p w:rsidR="0019223E" w:rsidRDefault="00E67E24" w:rsidP="0019223E">
            <w:pPr>
              <w:jc w:val="center"/>
              <w:rPr>
                <w:rFonts w:ascii="Verdana" w:hAnsi="Verdana" w:cs="Times New Roman"/>
                <w:sz w:val="24"/>
                <w:szCs w:val="24"/>
              </w:rPr>
            </w:pPr>
            <w:r>
              <w:rPr>
                <w:rFonts w:ascii="Verdana" w:hAnsi="Verdana" w:cs="Times New Roman"/>
                <w:sz w:val="24"/>
                <w:szCs w:val="24"/>
              </w:rPr>
              <w:t>74%</w:t>
            </w:r>
          </w:p>
        </w:tc>
        <w:tc>
          <w:tcPr>
            <w:tcW w:w="1870" w:type="dxa"/>
          </w:tcPr>
          <w:p w:rsidR="0019223E" w:rsidRDefault="00E67E24" w:rsidP="007F1023">
            <w:pPr>
              <w:rPr>
                <w:rFonts w:ascii="Verdana" w:hAnsi="Verdana" w:cs="Times New Roman"/>
                <w:sz w:val="24"/>
                <w:szCs w:val="24"/>
              </w:rPr>
            </w:pPr>
            <w:r>
              <w:rPr>
                <w:rFonts w:ascii="Verdana" w:hAnsi="Verdana" w:cs="Times New Roman"/>
                <w:sz w:val="24"/>
                <w:szCs w:val="24"/>
              </w:rPr>
              <w:t xml:space="preserve">      96%</w:t>
            </w:r>
          </w:p>
        </w:tc>
        <w:tc>
          <w:tcPr>
            <w:tcW w:w="1870" w:type="dxa"/>
          </w:tcPr>
          <w:p w:rsidR="0019223E" w:rsidRDefault="00E67E24" w:rsidP="007F1023">
            <w:pPr>
              <w:rPr>
                <w:rFonts w:ascii="Verdana" w:hAnsi="Verdana" w:cs="Times New Roman"/>
                <w:sz w:val="24"/>
                <w:szCs w:val="24"/>
              </w:rPr>
            </w:pPr>
            <w:r>
              <w:rPr>
                <w:rFonts w:ascii="Verdana" w:hAnsi="Verdana" w:cs="Times New Roman"/>
                <w:sz w:val="24"/>
                <w:szCs w:val="24"/>
              </w:rPr>
              <w:t xml:space="preserve">     95%</w:t>
            </w:r>
          </w:p>
        </w:tc>
        <w:tc>
          <w:tcPr>
            <w:tcW w:w="1870" w:type="dxa"/>
          </w:tcPr>
          <w:p w:rsidR="0019223E" w:rsidRDefault="00E67E24" w:rsidP="007F1023">
            <w:pPr>
              <w:rPr>
                <w:rFonts w:ascii="Verdana" w:hAnsi="Verdana" w:cs="Times New Roman"/>
                <w:sz w:val="24"/>
                <w:szCs w:val="24"/>
              </w:rPr>
            </w:pPr>
            <w:r>
              <w:rPr>
                <w:rFonts w:ascii="Verdana" w:hAnsi="Verdana" w:cs="Times New Roman"/>
                <w:sz w:val="24"/>
                <w:szCs w:val="24"/>
              </w:rPr>
              <w:t xml:space="preserve">   100%</w:t>
            </w:r>
          </w:p>
        </w:tc>
      </w:tr>
      <w:tr w:rsidR="0019223E" w:rsidTr="0019223E">
        <w:tc>
          <w:tcPr>
            <w:tcW w:w="1870" w:type="dxa"/>
          </w:tcPr>
          <w:p w:rsidR="0019223E" w:rsidRDefault="0019223E" w:rsidP="007F1023">
            <w:pPr>
              <w:rPr>
                <w:rFonts w:ascii="Verdana" w:hAnsi="Verdana" w:cs="Times New Roman"/>
                <w:sz w:val="24"/>
                <w:szCs w:val="24"/>
              </w:rPr>
            </w:pPr>
            <w:r>
              <w:rPr>
                <w:rFonts w:ascii="Verdana" w:hAnsi="Verdana" w:cs="Times New Roman"/>
                <w:sz w:val="24"/>
                <w:szCs w:val="24"/>
              </w:rPr>
              <w:t>Graduates</w:t>
            </w:r>
          </w:p>
        </w:tc>
        <w:tc>
          <w:tcPr>
            <w:tcW w:w="1870" w:type="dxa"/>
          </w:tcPr>
          <w:p w:rsidR="0019223E" w:rsidRDefault="00E67E24" w:rsidP="00E67E24">
            <w:pPr>
              <w:jc w:val="center"/>
              <w:rPr>
                <w:rFonts w:ascii="Verdana" w:hAnsi="Verdana" w:cs="Times New Roman"/>
                <w:sz w:val="24"/>
                <w:szCs w:val="24"/>
              </w:rPr>
            </w:pPr>
            <w:r>
              <w:rPr>
                <w:rFonts w:ascii="Verdana" w:hAnsi="Verdana" w:cs="Times New Roman"/>
                <w:sz w:val="24"/>
                <w:szCs w:val="24"/>
              </w:rPr>
              <w:t>5</w:t>
            </w:r>
          </w:p>
        </w:tc>
        <w:tc>
          <w:tcPr>
            <w:tcW w:w="1870" w:type="dxa"/>
          </w:tcPr>
          <w:p w:rsidR="0019223E" w:rsidRDefault="00E67E24" w:rsidP="007F1023">
            <w:pPr>
              <w:rPr>
                <w:rFonts w:ascii="Verdana" w:hAnsi="Verdana" w:cs="Times New Roman"/>
                <w:sz w:val="24"/>
                <w:szCs w:val="24"/>
              </w:rPr>
            </w:pPr>
            <w:r>
              <w:rPr>
                <w:rFonts w:ascii="Verdana" w:hAnsi="Verdana" w:cs="Times New Roman"/>
                <w:sz w:val="24"/>
                <w:szCs w:val="24"/>
              </w:rPr>
              <w:t xml:space="preserve">      10</w:t>
            </w:r>
          </w:p>
        </w:tc>
        <w:tc>
          <w:tcPr>
            <w:tcW w:w="1870" w:type="dxa"/>
          </w:tcPr>
          <w:p w:rsidR="0019223E" w:rsidRDefault="00E67E24" w:rsidP="00E67E24">
            <w:pPr>
              <w:jc w:val="center"/>
              <w:rPr>
                <w:rFonts w:ascii="Verdana" w:hAnsi="Verdana" w:cs="Times New Roman"/>
                <w:sz w:val="24"/>
                <w:szCs w:val="24"/>
              </w:rPr>
            </w:pPr>
            <w:r>
              <w:rPr>
                <w:rFonts w:ascii="Verdana" w:hAnsi="Verdana" w:cs="Times New Roman"/>
                <w:sz w:val="24"/>
                <w:szCs w:val="24"/>
              </w:rPr>
              <w:t>6</w:t>
            </w:r>
          </w:p>
        </w:tc>
        <w:tc>
          <w:tcPr>
            <w:tcW w:w="1870" w:type="dxa"/>
          </w:tcPr>
          <w:p w:rsidR="0019223E" w:rsidRDefault="00E67E24" w:rsidP="007F1023">
            <w:pPr>
              <w:rPr>
                <w:rFonts w:ascii="Verdana" w:hAnsi="Verdana" w:cs="Times New Roman"/>
                <w:sz w:val="24"/>
                <w:szCs w:val="24"/>
              </w:rPr>
            </w:pPr>
            <w:r>
              <w:rPr>
                <w:rFonts w:ascii="Verdana" w:hAnsi="Verdana" w:cs="Times New Roman"/>
                <w:sz w:val="24"/>
                <w:szCs w:val="24"/>
              </w:rPr>
              <w:t xml:space="preserve">      5</w:t>
            </w:r>
          </w:p>
        </w:tc>
      </w:tr>
      <w:tr w:rsidR="0019223E" w:rsidTr="0019223E">
        <w:tc>
          <w:tcPr>
            <w:tcW w:w="1870" w:type="dxa"/>
          </w:tcPr>
          <w:p w:rsidR="0019223E" w:rsidRDefault="0019223E" w:rsidP="007F1023">
            <w:pPr>
              <w:rPr>
                <w:rFonts w:ascii="Verdana" w:hAnsi="Verdana" w:cs="Times New Roman"/>
                <w:sz w:val="24"/>
                <w:szCs w:val="24"/>
              </w:rPr>
            </w:pPr>
          </w:p>
        </w:tc>
        <w:tc>
          <w:tcPr>
            <w:tcW w:w="1870" w:type="dxa"/>
          </w:tcPr>
          <w:p w:rsidR="0019223E" w:rsidRDefault="0019223E" w:rsidP="007F1023">
            <w:pPr>
              <w:rPr>
                <w:rFonts w:ascii="Verdana" w:hAnsi="Verdana" w:cs="Times New Roman"/>
                <w:sz w:val="24"/>
                <w:szCs w:val="24"/>
              </w:rPr>
            </w:pPr>
          </w:p>
        </w:tc>
        <w:tc>
          <w:tcPr>
            <w:tcW w:w="1870" w:type="dxa"/>
          </w:tcPr>
          <w:p w:rsidR="0019223E" w:rsidRDefault="0019223E" w:rsidP="007F1023">
            <w:pPr>
              <w:rPr>
                <w:rFonts w:ascii="Verdana" w:hAnsi="Verdana" w:cs="Times New Roman"/>
                <w:sz w:val="24"/>
                <w:szCs w:val="24"/>
              </w:rPr>
            </w:pPr>
          </w:p>
        </w:tc>
        <w:tc>
          <w:tcPr>
            <w:tcW w:w="1870" w:type="dxa"/>
          </w:tcPr>
          <w:p w:rsidR="0019223E" w:rsidRDefault="0019223E" w:rsidP="007F1023">
            <w:pPr>
              <w:rPr>
                <w:rFonts w:ascii="Verdana" w:hAnsi="Verdana" w:cs="Times New Roman"/>
                <w:sz w:val="24"/>
                <w:szCs w:val="24"/>
              </w:rPr>
            </w:pPr>
          </w:p>
        </w:tc>
        <w:tc>
          <w:tcPr>
            <w:tcW w:w="1870" w:type="dxa"/>
          </w:tcPr>
          <w:p w:rsidR="0019223E" w:rsidRDefault="0019223E" w:rsidP="007F1023">
            <w:pPr>
              <w:rPr>
                <w:rFonts w:ascii="Verdana" w:hAnsi="Verdana" w:cs="Times New Roman"/>
                <w:sz w:val="24"/>
                <w:szCs w:val="24"/>
              </w:rPr>
            </w:pPr>
          </w:p>
        </w:tc>
      </w:tr>
    </w:tbl>
    <w:p w:rsidR="0019223E" w:rsidRDefault="0019223E" w:rsidP="007F1023">
      <w:pPr>
        <w:spacing w:after="0" w:line="240" w:lineRule="auto"/>
        <w:rPr>
          <w:rFonts w:ascii="Verdana" w:hAnsi="Verdana" w:cs="Times New Roman"/>
          <w:sz w:val="24"/>
          <w:szCs w:val="24"/>
        </w:rPr>
      </w:pPr>
    </w:p>
    <w:p w:rsidR="00E67E24" w:rsidRDefault="00E67E24" w:rsidP="007F1023">
      <w:pPr>
        <w:spacing w:after="0" w:line="240" w:lineRule="auto"/>
        <w:rPr>
          <w:rFonts w:ascii="Verdana" w:hAnsi="Verdana" w:cs="Times New Roman"/>
          <w:b/>
          <w:sz w:val="24"/>
          <w:szCs w:val="24"/>
        </w:rPr>
      </w:pPr>
      <w:r w:rsidRPr="00E67E24">
        <w:rPr>
          <w:rFonts w:ascii="Verdana" w:hAnsi="Verdana" w:cs="Times New Roman"/>
          <w:b/>
          <w:sz w:val="24"/>
          <w:szCs w:val="24"/>
        </w:rPr>
        <w:t>Summary of Success Data SP2018-2019</w:t>
      </w:r>
    </w:p>
    <w:p w:rsidR="00E67E24" w:rsidRDefault="00E67E24" w:rsidP="007F1023">
      <w:pPr>
        <w:spacing w:after="0" w:line="240" w:lineRule="auto"/>
        <w:rPr>
          <w:rFonts w:ascii="Verdana" w:hAnsi="Verdana" w:cs="Times New Roman"/>
          <w:b/>
          <w:sz w:val="24"/>
          <w:szCs w:val="24"/>
        </w:rPr>
      </w:pPr>
      <w:r>
        <w:rPr>
          <w:rFonts w:ascii="Verdana" w:hAnsi="Verdana" w:cs="Times New Roman"/>
          <w:b/>
          <w:sz w:val="24"/>
          <w:szCs w:val="24"/>
        </w:rPr>
        <w:t>Certificate and Diploma</w:t>
      </w:r>
    </w:p>
    <w:p w:rsidR="00E67E24" w:rsidRDefault="00E67E24" w:rsidP="007F1023">
      <w:pPr>
        <w:spacing w:after="0" w:line="240" w:lineRule="auto"/>
        <w:rPr>
          <w:rFonts w:ascii="Verdana" w:hAnsi="Verdana" w:cs="Times New Roman"/>
          <w:b/>
          <w:sz w:val="24"/>
          <w:szCs w:val="24"/>
        </w:rPr>
      </w:pPr>
    </w:p>
    <w:p w:rsidR="00E67E24" w:rsidRDefault="00C50E8C" w:rsidP="00C50E8C">
      <w:pPr>
        <w:spacing w:after="0" w:line="240" w:lineRule="auto"/>
        <w:ind w:left="1440" w:firstLine="720"/>
        <w:jc w:val="both"/>
        <w:rPr>
          <w:rFonts w:ascii="Verdana" w:hAnsi="Verdana" w:cs="Times New Roman"/>
          <w:sz w:val="24"/>
          <w:szCs w:val="24"/>
        </w:rPr>
      </w:pPr>
      <w:r>
        <w:rPr>
          <w:rFonts w:ascii="Verdana" w:hAnsi="Verdana" w:cs="Times New Roman"/>
          <w:sz w:val="24"/>
          <w:szCs w:val="24"/>
        </w:rPr>
        <w:t>SP2017</w:t>
      </w:r>
      <w:r>
        <w:rPr>
          <w:rFonts w:ascii="Verdana" w:hAnsi="Verdana" w:cs="Times New Roman"/>
          <w:sz w:val="24"/>
          <w:szCs w:val="24"/>
        </w:rPr>
        <w:tab/>
      </w:r>
      <w:r>
        <w:rPr>
          <w:rFonts w:ascii="Verdana" w:hAnsi="Verdana" w:cs="Times New Roman"/>
          <w:sz w:val="24"/>
          <w:szCs w:val="24"/>
        </w:rPr>
        <w:tab/>
      </w:r>
      <w:r w:rsidR="00E67E24">
        <w:rPr>
          <w:rFonts w:ascii="Verdana" w:hAnsi="Verdana" w:cs="Times New Roman"/>
          <w:sz w:val="24"/>
          <w:szCs w:val="24"/>
        </w:rPr>
        <w:t>SP2018</w:t>
      </w:r>
      <w:r w:rsidR="00E67E24">
        <w:rPr>
          <w:rFonts w:ascii="Verdana" w:hAnsi="Verdana" w:cs="Times New Roman"/>
          <w:sz w:val="24"/>
          <w:szCs w:val="24"/>
        </w:rPr>
        <w:tab/>
      </w:r>
      <w:r w:rsidR="00E67E24">
        <w:rPr>
          <w:rFonts w:ascii="Verdana" w:hAnsi="Verdana" w:cs="Times New Roman"/>
          <w:sz w:val="24"/>
          <w:szCs w:val="24"/>
        </w:rPr>
        <w:tab/>
        <w:t>SP2019</w:t>
      </w:r>
      <w:r w:rsidR="00E67E24">
        <w:rPr>
          <w:rFonts w:ascii="Verdana" w:hAnsi="Verdana" w:cs="Times New Roman"/>
          <w:sz w:val="24"/>
          <w:szCs w:val="24"/>
        </w:rPr>
        <w:tab/>
        <w:t xml:space="preserve">  </w:t>
      </w:r>
    </w:p>
    <w:tbl>
      <w:tblPr>
        <w:tblStyle w:val="TableGrid"/>
        <w:tblW w:w="0" w:type="auto"/>
        <w:tblLook w:val="04A0" w:firstRow="1" w:lastRow="0" w:firstColumn="1" w:lastColumn="0" w:noHBand="0" w:noVBand="1"/>
      </w:tblPr>
      <w:tblGrid>
        <w:gridCol w:w="1870"/>
        <w:gridCol w:w="1870"/>
        <w:gridCol w:w="1870"/>
        <w:gridCol w:w="1870"/>
      </w:tblGrid>
      <w:tr w:rsidR="00C50E8C" w:rsidTr="00C50E8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2.0 or above</w:t>
            </w: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83%</w:t>
            </w: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 xml:space="preserve">      81%</w:t>
            </w: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 xml:space="preserve">     82%</w:t>
            </w:r>
          </w:p>
        </w:tc>
      </w:tr>
      <w:tr w:rsidR="00C50E8C" w:rsidTr="00C50E8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Graduates</w:t>
            </w: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w:t>
            </w: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 xml:space="preserve">      16*</w:t>
            </w:r>
          </w:p>
        </w:tc>
        <w:tc>
          <w:tcPr>
            <w:tcW w:w="1870" w:type="dxa"/>
          </w:tcPr>
          <w:p w:rsidR="00C50E8C" w:rsidRDefault="00C50E8C" w:rsidP="00C50E8C">
            <w:pPr>
              <w:jc w:val="center"/>
              <w:rPr>
                <w:rFonts w:ascii="Verdana" w:hAnsi="Verdana" w:cs="Times New Roman"/>
                <w:sz w:val="24"/>
                <w:szCs w:val="24"/>
              </w:rPr>
            </w:pPr>
            <w:r>
              <w:rPr>
                <w:rFonts w:ascii="Verdana" w:hAnsi="Verdana" w:cs="Times New Roman"/>
                <w:sz w:val="24"/>
                <w:szCs w:val="24"/>
              </w:rPr>
              <w:t>16 Certificate</w:t>
            </w:r>
          </w:p>
        </w:tc>
      </w:tr>
      <w:tr w:rsidR="00C50E8C" w:rsidTr="00C50E8C">
        <w:tc>
          <w:tcPr>
            <w:tcW w:w="1870" w:type="dxa"/>
          </w:tcPr>
          <w:p w:rsidR="00C50E8C" w:rsidRDefault="00C50E8C" w:rsidP="00C50E8C">
            <w:pPr>
              <w:rPr>
                <w:rFonts w:ascii="Verdana" w:hAnsi="Verdana" w:cs="Times New Roman"/>
                <w:sz w:val="24"/>
                <w:szCs w:val="24"/>
              </w:rPr>
            </w:pPr>
          </w:p>
        </w:tc>
        <w:tc>
          <w:tcPr>
            <w:tcW w:w="1870" w:type="dxa"/>
          </w:tcPr>
          <w:p w:rsidR="00C50E8C" w:rsidRDefault="00C50E8C" w:rsidP="00C50E8C">
            <w:pPr>
              <w:rPr>
                <w:rFonts w:ascii="Verdana" w:hAnsi="Verdana" w:cs="Times New Roman"/>
                <w:sz w:val="24"/>
                <w:szCs w:val="24"/>
              </w:rPr>
            </w:pPr>
          </w:p>
        </w:tc>
        <w:tc>
          <w:tcPr>
            <w:tcW w:w="1870" w:type="dxa"/>
          </w:tcPr>
          <w:p w:rsidR="00C50E8C" w:rsidRDefault="00C50E8C" w:rsidP="00C50E8C">
            <w:pPr>
              <w:rPr>
                <w:rFonts w:ascii="Verdana" w:hAnsi="Verdana" w:cs="Times New Roman"/>
                <w:sz w:val="24"/>
                <w:szCs w:val="24"/>
              </w:rPr>
            </w:pPr>
          </w:p>
        </w:tc>
        <w:tc>
          <w:tcPr>
            <w:tcW w:w="1870" w:type="dxa"/>
          </w:tcPr>
          <w:p w:rsidR="00C50E8C" w:rsidRDefault="00C50E8C" w:rsidP="00C50E8C">
            <w:pPr>
              <w:rPr>
                <w:rFonts w:ascii="Verdana" w:hAnsi="Verdana" w:cs="Times New Roman"/>
                <w:sz w:val="24"/>
                <w:szCs w:val="24"/>
              </w:rPr>
            </w:pPr>
            <w:r>
              <w:rPr>
                <w:rFonts w:ascii="Verdana" w:hAnsi="Verdana" w:cs="Times New Roman"/>
                <w:sz w:val="24"/>
                <w:szCs w:val="24"/>
              </w:rPr>
              <w:t xml:space="preserve">1 Diploma Hosp. </w:t>
            </w:r>
            <w:proofErr w:type="spellStart"/>
            <w:r>
              <w:rPr>
                <w:rFonts w:ascii="Verdana" w:hAnsi="Verdana" w:cs="Times New Roman"/>
                <w:sz w:val="24"/>
                <w:szCs w:val="24"/>
              </w:rPr>
              <w:t>Mgmt</w:t>
            </w:r>
            <w:proofErr w:type="spellEnd"/>
          </w:p>
        </w:tc>
      </w:tr>
    </w:tbl>
    <w:p w:rsidR="00E67E24" w:rsidRDefault="00E67E24" w:rsidP="007F1023">
      <w:pPr>
        <w:spacing w:after="0" w:line="240" w:lineRule="auto"/>
        <w:rPr>
          <w:rFonts w:ascii="Verdana" w:hAnsi="Verdana" w:cs="Times New Roman"/>
          <w:b/>
          <w:sz w:val="24"/>
          <w:szCs w:val="24"/>
        </w:rPr>
      </w:pPr>
    </w:p>
    <w:p w:rsidR="00E67E24" w:rsidRDefault="00E67E24" w:rsidP="007F1023">
      <w:pPr>
        <w:spacing w:after="0" w:line="240" w:lineRule="auto"/>
        <w:rPr>
          <w:rFonts w:ascii="Verdana" w:hAnsi="Verdana" w:cs="Times New Roman"/>
          <w:sz w:val="24"/>
          <w:szCs w:val="24"/>
        </w:rPr>
      </w:pPr>
      <w:r>
        <w:rPr>
          <w:rFonts w:ascii="Verdana" w:hAnsi="Verdana" w:cs="Times New Roman"/>
          <w:b/>
          <w:sz w:val="24"/>
          <w:szCs w:val="24"/>
        </w:rPr>
        <w:t>*</w:t>
      </w:r>
      <w:r>
        <w:rPr>
          <w:rFonts w:ascii="Verdana" w:hAnsi="Verdana" w:cs="Times New Roman"/>
          <w:sz w:val="24"/>
          <w:szCs w:val="24"/>
        </w:rPr>
        <w:t>First graduating cohort</w:t>
      </w:r>
    </w:p>
    <w:p w:rsidR="00E67E24" w:rsidRDefault="00E67E24" w:rsidP="007F1023">
      <w:pPr>
        <w:spacing w:after="0" w:line="240" w:lineRule="auto"/>
        <w:rPr>
          <w:rFonts w:ascii="Verdana" w:hAnsi="Verdana" w:cs="Times New Roman"/>
          <w:sz w:val="24"/>
          <w:szCs w:val="24"/>
        </w:rPr>
      </w:pPr>
    </w:p>
    <w:p w:rsidR="00E67E24" w:rsidRDefault="00E67E24" w:rsidP="007F1023">
      <w:pPr>
        <w:spacing w:after="0" w:line="240" w:lineRule="auto"/>
        <w:rPr>
          <w:rFonts w:ascii="Verdana" w:hAnsi="Verdana" w:cs="Times New Roman"/>
          <w:sz w:val="24"/>
          <w:szCs w:val="24"/>
        </w:rPr>
      </w:pPr>
      <w:r>
        <w:rPr>
          <w:rFonts w:ascii="Verdana" w:hAnsi="Verdana" w:cs="Times New Roman"/>
          <w:sz w:val="24"/>
          <w:szCs w:val="24"/>
        </w:rPr>
        <w:t>The Associate Degree Dual Enrolment Programme at Bermuda College provides senior high school students with the opportunity to experience college life, earn credit toward an associate degree and to pursue advanced curriculum relevant to their post-secondary interest.</w:t>
      </w:r>
      <w:r w:rsidR="00432707">
        <w:rPr>
          <w:rFonts w:ascii="Verdana" w:hAnsi="Verdana" w:cs="Times New Roman"/>
          <w:sz w:val="24"/>
          <w:szCs w:val="24"/>
        </w:rPr>
        <w:t xml:space="preserve"> All classes are taught on the college campus by college faculty.</w:t>
      </w:r>
      <w:r>
        <w:rPr>
          <w:rFonts w:ascii="Verdana" w:hAnsi="Verdana" w:cs="Times New Roman"/>
          <w:sz w:val="24"/>
          <w:szCs w:val="24"/>
        </w:rPr>
        <w:t xml:space="preserve"> Over the past </w:t>
      </w:r>
      <w:r w:rsidR="00432707">
        <w:rPr>
          <w:rFonts w:ascii="Verdana" w:hAnsi="Verdana" w:cs="Times New Roman"/>
          <w:sz w:val="24"/>
          <w:szCs w:val="24"/>
        </w:rPr>
        <w:t>four year</w:t>
      </w:r>
      <w:r w:rsidR="004335E6">
        <w:rPr>
          <w:rFonts w:ascii="Verdana" w:hAnsi="Verdana" w:cs="Times New Roman"/>
          <w:sz w:val="24"/>
          <w:szCs w:val="24"/>
        </w:rPr>
        <w:t>s</w:t>
      </w:r>
      <w:r w:rsidR="00432707">
        <w:rPr>
          <w:rFonts w:ascii="Verdana" w:hAnsi="Verdana" w:cs="Times New Roman"/>
          <w:sz w:val="24"/>
          <w:szCs w:val="24"/>
        </w:rPr>
        <w:t xml:space="preserve">, best practice guidelines were added to the programme to enhance effectiveness and success. In 2016, the course repeat policy was added (page 17 of the catalogue) and the agreement between senior school students, parents and the College. Additionally, </w:t>
      </w:r>
      <w:r w:rsidR="004335E6">
        <w:rPr>
          <w:rFonts w:ascii="Verdana" w:hAnsi="Verdana" w:cs="Times New Roman"/>
          <w:sz w:val="24"/>
          <w:szCs w:val="24"/>
        </w:rPr>
        <w:t xml:space="preserve">students attend a mandatory orientation and several progress meetings throughout the year. </w:t>
      </w:r>
    </w:p>
    <w:p w:rsidR="004335E6" w:rsidRDefault="004335E6" w:rsidP="007F1023">
      <w:pPr>
        <w:spacing w:after="0" w:line="240" w:lineRule="auto"/>
        <w:rPr>
          <w:rFonts w:ascii="Verdana" w:hAnsi="Verdana" w:cs="Times New Roman"/>
          <w:sz w:val="24"/>
          <w:szCs w:val="24"/>
        </w:rPr>
      </w:pPr>
    </w:p>
    <w:p w:rsidR="00BF6810" w:rsidRPr="00BF6810" w:rsidRDefault="00BF6810" w:rsidP="00BF6810">
      <w:pPr>
        <w:rPr>
          <w:rFonts w:ascii="Verdana" w:hAnsi="Verdana"/>
          <w:sz w:val="24"/>
          <w:szCs w:val="24"/>
          <w:u w:val="single"/>
        </w:rPr>
      </w:pPr>
      <w:r w:rsidRPr="00BF6810">
        <w:rPr>
          <w:rFonts w:ascii="Verdana" w:hAnsi="Verdana"/>
          <w:sz w:val="24"/>
          <w:szCs w:val="24"/>
          <w:u w:val="single"/>
        </w:rPr>
        <w:t>Awards and Commendations</w:t>
      </w:r>
    </w:p>
    <w:p w:rsidR="00BF6810" w:rsidRDefault="00BF6810" w:rsidP="00BF6810">
      <w:pPr>
        <w:rPr>
          <w:rFonts w:ascii="Verdana" w:hAnsi="Verdana"/>
          <w:sz w:val="24"/>
          <w:szCs w:val="24"/>
        </w:rPr>
      </w:pPr>
      <w:r>
        <w:rPr>
          <w:rFonts w:ascii="Verdana" w:hAnsi="Verdana"/>
          <w:sz w:val="24"/>
          <w:szCs w:val="24"/>
        </w:rPr>
        <w:t xml:space="preserve">At the 2019 Commencement Ceremony, the following awards were presented to dual enrolment students in the Technical Education Division: </w:t>
      </w:r>
      <w:r>
        <w:rPr>
          <w:rFonts w:ascii="Verdana" w:hAnsi="Verdana"/>
          <w:sz w:val="24"/>
          <w:szCs w:val="24"/>
        </w:rPr>
        <w:lastRenderedPageBreak/>
        <w:t>Most Outstanding in Computers and Programming; Most Outstanding in materials and Mechanics; Most Outstanding in Electricity Electronics and Most Outstanding Applied Science Technology Graduate.</w:t>
      </w:r>
      <w:r w:rsidRPr="00BF6810">
        <w:rPr>
          <w:rFonts w:ascii="Verdana" w:hAnsi="Verdana"/>
          <w:sz w:val="24"/>
          <w:szCs w:val="24"/>
        </w:rPr>
        <w:t xml:space="preserve"> </w:t>
      </w:r>
      <w:r>
        <w:rPr>
          <w:rFonts w:ascii="Verdana" w:hAnsi="Verdana"/>
          <w:sz w:val="24"/>
          <w:szCs w:val="24"/>
        </w:rPr>
        <w:t xml:space="preserve">The award for Most Outstanding Graduate in the Division of Arts and Science and the award for Most Outstanding General Business Graduate were presented to two dual enrolment graduates. Of the fifteen students inducted into Beta Chi Upsilon, the Bermuda Chapter of Phi Theta Kappa on March 21, 2019, six were dual enrolment students and two were former dual enrolment students. </w:t>
      </w:r>
    </w:p>
    <w:p w:rsidR="00BF6810" w:rsidRDefault="00BF6810" w:rsidP="007F1023">
      <w:pPr>
        <w:spacing w:after="0" w:line="240" w:lineRule="auto"/>
        <w:rPr>
          <w:rFonts w:ascii="Verdana" w:hAnsi="Verdana" w:cs="Times New Roman"/>
          <w:sz w:val="24"/>
          <w:szCs w:val="24"/>
        </w:rPr>
      </w:pPr>
    </w:p>
    <w:p w:rsidR="00E91F20" w:rsidRDefault="00E91F20" w:rsidP="007F1023">
      <w:pPr>
        <w:spacing w:after="0" w:line="240" w:lineRule="auto"/>
        <w:rPr>
          <w:rFonts w:ascii="Verdana" w:hAnsi="Verdana" w:cs="Times New Roman"/>
          <w:sz w:val="24"/>
          <w:szCs w:val="24"/>
        </w:rPr>
      </w:pPr>
      <w:r>
        <w:rPr>
          <w:rFonts w:ascii="Verdana" w:hAnsi="Verdana" w:cs="Times New Roman"/>
          <w:sz w:val="24"/>
          <w:szCs w:val="24"/>
        </w:rPr>
        <w:t xml:space="preserve">ACCUPLACER </w:t>
      </w:r>
    </w:p>
    <w:p w:rsidR="00E91F20" w:rsidRDefault="00E91F20" w:rsidP="00E91F20">
      <w:pPr>
        <w:pStyle w:val="NormalWeb"/>
        <w:spacing w:before="106" w:beforeAutospacing="0" w:after="0" w:afterAutospacing="0"/>
        <w:rPr>
          <w:rFonts w:ascii="Verdana" w:hAnsi="Verdana"/>
        </w:rPr>
      </w:pPr>
    </w:p>
    <w:p w:rsidR="00E91F20" w:rsidRPr="00AD0B3F" w:rsidRDefault="00E91F20" w:rsidP="00E91F20">
      <w:pPr>
        <w:pStyle w:val="NormalWeb"/>
        <w:spacing w:before="106" w:beforeAutospacing="0" w:after="0" w:afterAutospacing="0"/>
        <w:rPr>
          <w:rFonts w:ascii="Verdana" w:hAnsi="Verdana"/>
        </w:rPr>
      </w:pPr>
      <w:r>
        <w:rPr>
          <w:rFonts w:ascii="Verdana" w:hAnsi="Verdana"/>
        </w:rPr>
        <w:t xml:space="preserve">In July 2017, the Testing Centre assumed responsibility for placement test invigilation and scheduling of the test was turned over to SERR. The ARC continues to be responsible for the overall management of the CPT including test budget and orders, testing standards and cut scores and all other matters related to testing accuracy and efficiency. In response to ACCUPLACER’s work to provide improved assessments that are more responsive to the needs of college students, the College began its transition from the classic test to the new redesigned placement test, Next Generation, in spring 2017. The new test was implemented in spring 2019. To increase attention to the college placement test, a </w:t>
      </w:r>
      <w:r w:rsidRPr="00AD0B3F">
        <w:rPr>
          <w:rFonts w:ascii="Verdana" w:hAnsi="Verdana"/>
        </w:rPr>
        <w:t>rubric for course entrance requi</w:t>
      </w:r>
      <w:r>
        <w:rPr>
          <w:rFonts w:ascii="Verdana" w:hAnsi="Verdana"/>
        </w:rPr>
        <w:t>rements was created and will be published in the 2020 catalogue.</w:t>
      </w:r>
      <w:r w:rsidRPr="00AD0B3F">
        <w:rPr>
          <w:rFonts w:ascii="Verdana" w:hAnsi="Verdana"/>
        </w:rPr>
        <w:t xml:space="preserve"> </w:t>
      </w:r>
    </w:p>
    <w:p w:rsidR="00E91F20" w:rsidRPr="00AD0B3F" w:rsidRDefault="00E91F20" w:rsidP="00E91F20">
      <w:pPr>
        <w:rPr>
          <w:rFonts w:ascii="Verdana" w:hAnsi="Verdana"/>
          <w:sz w:val="24"/>
          <w:szCs w:val="24"/>
        </w:rPr>
      </w:pPr>
    </w:p>
    <w:p w:rsidR="00E91F20" w:rsidRDefault="00E91F20" w:rsidP="007F1023">
      <w:pPr>
        <w:spacing w:after="0" w:line="240" w:lineRule="auto"/>
        <w:rPr>
          <w:rFonts w:ascii="Verdana" w:hAnsi="Verdana" w:cs="Times New Roman"/>
          <w:sz w:val="24"/>
          <w:szCs w:val="24"/>
        </w:rPr>
      </w:pPr>
      <w:r>
        <w:rPr>
          <w:rFonts w:ascii="Verdana" w:hAnsi="Verdana" w:cs="Times New Roman"/>
          <w:sz w:val="24"/>
          <w:szCs w:val="24"/>
        </w:rPr>
        <w:t>Disabilities</w:t>
      </w:r>
    </w:p>
    <w:p w:rsidR="00E91F20" w:rsidRDefault="00E91F20" w:rsidP="007F1023">
      <w:pPr>
        <w:spacing w:after="0" w:line="240" w:lineRule="auto"/>
        <w:rPr>
          <w:rFonts w:ascii="Verdana" w:hAnsi="Verdana" w:cs="Times New Roman"/>
          <w:sz w:val="24"/>
          <w:szCs w:val="24"/>
        </w:rPr>
      </w:pPr>
    </w:p>
    <w:p w:rsidR="00E91F20" w:rsidRPr="0015039B" w:rsidRDefault="0015039B" w:rsidP="007F1023">
      <w:pPr>
        <w:spacing w:after="0" w:line="240" w:lineRule="auto"/>
        <w:rPr>
          <w:rFonts w:ascii="Verdana" w:hAnsi="Verdana" w:cs="Times New Roman"/>
          <w:sz w:val="24"/>
          <w:szCs w:val="24"/>
        </w:rPr>
      </w:pPr>
      <w:r w:rsidRPr="0015039B">
        <w:rPr>
          <w:rFonts w:ascii="Verdana" w:hAnsi="Verdana" w:cs="Times New Roman"/>
          <w:sz w:val="24"/>
          <w:szCs w:val="24"/>
        </w:rPr>
        <w:t xml:space="preserve">Disability </w:t>
      </w:r>
      <w:r w:rsidR="00C27957">
        <w:rPr>
          <w:rFonts w:ascii="Verdana" w:hAnsi="Verdana" w:cs="Times New Roman"/>
          <w:sz w:val="24"/>
          <w:szCs w:val="24"/>
        </w:rPr>
        <w:t xml:space="preserve">Support Services </w:t>
      </w:r>
      <w:r w:rsidRPr="0015039B">
        <w:rPr>
          <w:rFonts w:ascii="Verdana" w:hAnsi="Verdana" w:cs="Times New Roman"/>
          <w:sz w:val="24"/>
          <w:szCs w:val="24"/>
        </w:rPr>
        <w:t xml:space="preserve">Coordinator position </w:t>
      </w:r>
      <w:r>
        <w:rPr>
          <w:rFonts w:ascii="Verdana" w:hAnsi="Verdana" w:cs="Times New Roman"/>
          <w:sz w:val="24"/>
          <w:szCs w:val="24"/>
        </w:rPr>
        <w:t xml:space="preserve">was partially implemented in January 2018 (see disabilities policy) </w:t>
      </w:r>
      <w:r w:rsidRPr="0015039B">
        <w:rPr>
          <w:rFonts w:ascii="Verdana" w:hAnsi="Verdana" w:cs="Times New Roman"/>
          <w:sz w:val="24"/>
          <w:szCs w:val="24"/>
        </w:rPr>
        <w:t xml:space="preserve">in order to increase academic success for students with disabilities. </w:t>
      </w:r>
      <w:r w:rsidR="00C27957">
        <w:rPr>
          <w:rFonts w:ascii="Verdana" w:hAnsi="Verdana"/>
          <w:sz w:val="24"/>
          <w:szCs w:val="24"/>
        </w:rPr>
        <w:t xml:space="preserve">The number of students with disabilities has steadily increased (27 in FA 2017 compared to 39 in FA 2018 and 50 in FA 2019). The consideration of a full time Disability Support Services Coordinator position is underway as a result of the increase. </w:t>
      </w:r>
    </w:p>
    <w:sectPr w:rsidR="00E91F20" w:rsidRPr="0015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23"/>
    <w:rsid w:val="00141C71"/>
    <w:rsid w:val="0015039B"/>
    <w:rsid w:val="0019223E"/>
    <w:rsid w:val="00432707"/>
    <w:rsid w:val="004335E6"/>
    <w:rsid w:val="007F1023"/>
    <w:rsid w:val="00A47E8B"/>
    <w:rsid w:val="00B70C76"/>
    <w:rsid w:val="00BF6810"/>
    <w:rsid w:val="00C27957"/>
    <w:rsid w:val="00C44710"/>
    <w:rsid w:val="00C50E8C"/>
    <w:rsid w:val="00E67E24"/>
    <w:rsid w:val="00E91F20"/>
    <w:rsid w:val="00F9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2309-E62D-479C-91FF-42D26D73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F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9499A054</Template>
  <TotalTime>0</TotalTime>
  <Pages>2</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Osborne</dc:creator>
  <cp:keywords/>
  <dc:description/>
  <cp:lastModifiedBy>Renee Faulcon</cp:lastModifiedBy>
  <cp:revision>2</cp:revision>
  <dcterms:created xsi:type="dcterms:W3CDTF">2019-10-23T07:37:00Z</dcterms:created>
  <dcterms:modified xsi:type="dcterms:W3CDTF">2019-10-23T07:37:00Z</dcterms:modified>
</cp:coreProperties>
</file>